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419F" w14:textId="77777777" w:rsidR="00B5625C" w:rsidRPr="00817EEE" w:rsidRDefault="00B5625C" w:rsidP="00B5625C">
      <w:pPr>
        <w:pStyle w:val="a4"/>
        <w:ind w:left="720"/>
        <w:jc w:val="right"/>
        <w:rPr>
          <w:rFonts w:ascii="Times New Roman" w:hAnsi="Times New Roman"/>
          <w:sz w:val="28"/>
          <w:szCs w:val="28"/>
        </w:rPr>
      </w:pPr>
    </w:p>
    <w:p w14:paraId="56333C10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14:paraId="069420B6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решением Совета директоров</w:t>
      </w:r>
    </w:p>
    <w:p w14:paraId="7BB792FF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 xml:space="preserve"> Союза «Комплексное объединение проектировщиков»</w:t>
      </w:r>
    </w:p>
    <w:p w14:paraId="4C8F3945" w14:textId="77777777" w:rsidR="00327F68" w:rsidRPr="00327F68" w:rsidRDefault="00327F68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D94F6FE" w14:textId="766A0E72" w:rsidR="00327F68" w:rsidRPr="00327F68" w:rsidRDefault="0038035D" w:rsidP="00327F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9C39EB">
        <w:rPr>
          <w:rFonts w:ascii="Times New Roman" w:hAnsi="Times New Roman"/>
          <w:color w:val="000000"/>
          <w:sz w:val="28"/>
          <w:szCs w:val="28"/>
        </w:rPr>
        <w:t>848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9CC">
        <w:rPr>
          <w:rFonts w:ascii="Times New Roman" w:hAnsi="Times New Roman"/>
          <w:color w:val="000000"/>
          <w:sz w:val="28"/>
          <w:szCs w:val="28"/>
        </w:rPr>
        <w:t>от</w:t>
      </w:r>
      <w:r w:rsidR="00220FE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C39EB">
        <w:rPr>
          <w:rFonts w:ascii="Times New Roman" w:hAnsi="Times New Roman"/>
          <w:color w:val="000000"/>
          <w:sz w:val="28"/>
          <w:szCs w:val="28"/>
        </w:rPr>
        <w:t>2</w:t>
      </w:r>
      <w:r w:rsidR="00CA7034" w:rsidRPr="00220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7034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="003943CB">
        <w:rPr>
          <w:rFonts w:ascii="Times New Roman" w:hAnsi="Times New Roman"/>
          <w:color w:val="000000"/>
          <w:sz w:val="28"/>
          <w:szCs w:val="28"/>
        </w:rPr>
        <w:t>202</w:t>
      </w:r>
      <w:r w:rsidR="009C39EB">
        <w:rPr>
          <w:rFonts w:ascii="Times New Roman" w:hAnsi="Times New Roman"/>
          <w:color w:val="000000"/>
          <w:sz w:val="28"/>
          <w:szCs w:val="28"/>
        </w:rPr>
        <w:t>3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14:paraId="46D42977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447A71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E2675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A4293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FCEC37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2D1F1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00FA3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FC53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0E735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C222F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7681A6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FCA87A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7C343D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0EB36D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14061D0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94C433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B37C1E0" w14:textId="77777777" w:rsidR="00B5625C" w:rsidRPr="00817EEE" w:rsidRDefault="00B5625C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7EEE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14:paraId="5515970D" w14:textId="77777777" w:rsidR="00327F68" w:rsidRDefault="00B5625C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17EEE">
        <w:rPr>
          <w:rFonts w:ascii="Times New Roman" w:hAnsi="Times New Roman"/>
          <w:b/>
          <w:sz w:val="28"/>
          <w:szCs w:val="28"/>
        </w:rPr>
        <w:t>Союза  «</w:t>
      </w:r>
      <w:proofErr w:type="gramEnd"/>
      <w:r w:rsidRPr="00817EEE">
        <w:rPr>
          <w:rFonts w:ascii="Times New Roman" w:hAnsi="Times New Roman"/>
          <w:b/>
          <w:sz w:val="28"/>
          <w:szCs w:val="28"/>
        </w:rPr>
        <w:t>Комплексное Объединение Проектировщиков»</w:t>
      </w:r>
      <w:r w:rsidR="00327F68">
        <w:rPr>
          <w:rFonts w:ascii="Times New Roman" w:hAnsi="Times New Roman"/>
          <w:b/>
          <w:sz w:val="28"/>
          <w:szCs w:val="28"/>
        </w:rPr>
        <w:t xml:space="preserve"> о деятельности членов</w:t>
      </w:r>
      <w:r w:rsidR="00327F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8509E1F" w14:textId="798C2C61" w:rsidR="00B5625C" w:rsidRPr="00817EEE" w:rsidRDefault="003943CB" w:rsidP="00327F68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</w:t>
      </w:r>
      <w:r w:rsidR="002C5D69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 w:rsidR="00B5625C" w:rsidRPr="00817EEE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14:paraId="07CEE148" w14:textId="77777777" w:rsidR="00817EEE" w:rsidRDefault="00817EEE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6A54EB7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C987D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46E0AC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9FE71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D71D1D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8C3FE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97C8B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A04C1D4" w14:textId="77777777" w:rsidR="00327F68" w:rsidRDefault="00327F68" w:rsidP="00327F6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038CB9E9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C4D598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242F9AA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70D99C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A58E9E5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011E72E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9DECC9D" w14:textId="77777777" w:rsid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5C9B71" w14:textId="77777777" w:rsidR="00327F68" w:rsidRPr="00327F68" w:rsidRDefault="00327F68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327F68">
        <w:rPr>
          <w:rFonts w:ascii="Times New Roman" w:hAnsi="Times New Roman"/>
          <w:color w:val="000000"/>
          <w:sz w:val="28"/>
          <w:szCs w:val="28"/>
        </w:rPr>
        <w:t>г. Краснодар</w:t>
      </w:r>
    </w:p>
    <w:p w14:paraId="42C43A5B" w14:textId="17066E06" w:rsidR="00327F68" w:rsidRPr="00327F68" w:rsidRDefault="003943CB" w:rsidP="00B5625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</w:t>
      </w:r>
      <w:r w:rsidR="009C39EB">
        <w:rPr>
          <w:rFonts w:ascii="Times New Roman" w:hAnsi="Times New Roman"/>
          <w:color w:val="000000"/>
          <w:sz w:val="28"/>
          <w:szCs w:val="28"/>
        </w:rPr>
        <w:t>3</w:t>
      </w:r>
      <w:r w:rsidR="00327F68" w:rsidRPr="00327F6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7CFF9C15" w14:textId="77777777" w:rsidR="00327F68" w:rsidRDefault="00327F68" w:rsidP="00494918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7C31570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lastRenderedPageBreak/>
        <w:tab/>
        <w:t xml:space="preserve">Союз «Комплексное Объединение Проектировщиков» был зарегистрирован Министерством юстиции РФ по Краснодарскому краю 31.12.2009 г. </w:t>
      </w:r>
    </w:p>
    <w:p w14:paraId="621A1D16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02 февраля 2010 года мы получили статус саморегулируемой организации. Всего на сегодняшний день на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территории  ЮФО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действуют  13 саморегулируемых организаций в сфере подготовки проектной документации.</w:t>
      </w:r>
    </w:p>
    <w:p w14:paraId="1EDAC610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На текущий момент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мы  остаемся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второй по численности в ЮФО СРО в сфере проектирования  и представляем интересы проектных организаций из 18 субъектов РФ.</w:t>
      </w:r>
    </w:p>
    <w:p w14:paraId="49ED0AF6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Анализ  итогов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нашей работы  выявил следующие показатели:</w:t>
      </w:r>
    </w:p>
    <w:p w14:paraId="25CA4D38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на 01.01.2022 г.- 548 членов.</w:t>
      </w:r>
    </w:p>
    <w:p w14:paraId="5D012C9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на 01.01.2023 г.- 555 членов.</w:t>
      </w:r>
    </w:p>
    <w:p w14:paraId="111989FC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При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этом,  вправе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 в зависимости от уровня ответственности  по обязательствам возмещения вреда по одному договору:</w:t>
      </w:r>
    </w:p>
    <w:p w14:paraId="1BCF413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- до 25 миллионов рублей -  519    членов Союза (-1);  </w:t>
      </w:r>
    </w:p>
    <w:p w14:paraId="7904DAE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- до 50 миллионов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рублей  -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  21 членов Союза (+5); </w:t>
      </w:r>
    </w:p>
    <w:p w14:paraId="4A4FA60A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- до 300 миллионов рублей-   11 членов Союза (+3);</w:t>
      </w:r>
    </w:p>
    <w:p w14:paraId="6CA1B5DB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- 300 миллионов рублей и более – 4 членов Союза (0);</w:t>
      </w:r>
    </w:p>
    <w:p w14:paraId="12CA85C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Из них вправе выполнять работы по подготовке проектной документации,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заключенным 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>с</w:t>
      </w:r>
      <w:proofErr w:type="gramEnd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использованием конкурентных способов определения поставщиков (подрядчиков, исполнителей)- 186  членов Союза, что на 8 больше чем показатель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предыдущего отчетного периода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, в том числе: </w:t>
      </w:r>
    </w:p>
    <w:p w14:paraId="7E7BCB08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- 168 (+3 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предыдущему отчетному периоду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) членов </w:t>
      </w:r>
      <w:proofErr w:type="gramStart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>Союза,  в</w:t>
      </w:r>
      <w:proofErr w:type="gramEnd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договорам,  на сумму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до 25 миллионов рублей;</w:t>
      </w:r>
    </w:p>
    <w:p w14:paraId="6E28EFA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- 13 (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+3 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предыдущему отчетному периоду) членов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Союза,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договорам, на сумму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до 50 миллионов рублей;</w:t>
      </w:r>
    </w:p>
    <w:p w14:paraId="337E1243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 - 4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(+2 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предыдущему отчетному периоду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)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члена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Союза,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до 300 миллионов рублей; </w:t>
      </w:r>
    </w:p>
    <w:p w14:paraId="068F6A49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  - 1 (на уровне предыдущего отчетного периода) член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Союза,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в</w:t>
      </w:r>
      <w:proofErr w:type="gramEnd"/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 совокупности по таким договорам  на сумму 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300 миллионов рублей и более; </w:t>
      </w:r>
    </w:p>
    <w:p w14:paraId="46ED331C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val="en-US" w:eastAsia="en-US" w:bidi="en-US"/>
        </w:rPr>
        <w:t> </w:t>
      </w:r>
      <w:r w:rsidRPr="009C39EB">
        <w:rPr>
          <w:rFonts w:ascii="Times New Roman" w:hAnsi="Times New Roman"/>
          <w:b/>
          <w:bCs/>
          <w:iCs/>
          <w:sz w:val="24"/>
          <w:szCs w:val="24"/>
          <w:lang w:eastAsia="en-US" w:bidi="en-US"/>
        </w:rPr>
        <w:t xml:space="preserve">69 члена Союза имеет право выполнять работы по подготовке проектной документации на особо опасных, технически сложных и уникальных объектах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(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-1 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предыдущему отчетному периоду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>)</w:t>
      </w:r>
      <w:r w:rsidRPr="009C39EB">
        <w:rPr>
          <w:rFonts w:ascii="Times New Roman" w:hAnsi="Times New Roman"/>
          <w:b/>
          <w:bCs/>
          <w:iCs/>
          <w:sz w:val="24"/>
          <w:szCs w:val="24"/>
          <w:lang w:eastAsia="en-US" w:bidi="en-US"/>
        </w:rPr>
        <w:t>.</w:t>
      </w:r>
    </w:p>
    <w:p w14:paraId="14CE82A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ab/>
        <w:t xml:space="preserve"> Вступило в члены Союза за отчетный период 56 организаций и индивидуальных предпринимателей, было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исключено  49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(на 12 больше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предыдущему отчетному периоду) членов Союза, в том числе:</w:t>
      </w:r>
    </w:p>
    <w:p w14:paraId="517807F4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по добровольному заявлению –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35  (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на 21 больше </w:t>
      </w:r>
      <w:r w:rsidRPr="009C39EB">
        <w:rPr>
          <w:rFonts w:ascii="Times New Roman" w:hAnsi="Times New Roman"/>
          <w:iCs/>
          <w:sz w:val="24"/>
          <w:szCs w:val="24"/>
          <w:shd w:val="clear" w:color="auto" w:fill="FFFFFF"/>
          <w:lang w:eastAsia="en-US" w:bidi="en-US"/>
        </w:rPr>
        <w:t xml:space="preserve">по отношению к </w:t>
      </w: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предыдущему отчетному периоду) членов;</w:t>
      </w:r>
    </w:p>
    <w:p w14:paraId="04D6051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на основании решения Совета директоров- </w:t>
      </w:r>
      <w:proofErr w:type="gram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14  членов</w:t>
      </w:r>
      <w:proofErr w:type="gram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 xml:space="preserve"> (на 9 меньше по отношению к  предыдущему отчетному периоду). </w:t>
      </w:r>
    </w:p>
    <w:p w14:paraId="218D2675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ab/>
        <w:t>При этом как показал анализ, основную массу исключенных составили в основном “</w:t>
      </w:r>
      <w:proofErr w:type="spellStart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микропредприятия</w:t>
      </w:r>
      <w:proofErr w:type="spellEnd"/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”.</w:t>
      </w:r>
    </w:p>
    <w:p w14:paraId="3F0922B5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>Структура аппарата Союза за 2022 год не претерпела существенных изменений. Численность сотрудников за отчетный год составила 25 человек.</w:t>
      </w:r>
    </w:p>
    <w:p w14:paraId="5C85492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>Мы продолжали мероприятия по поддержке малого бизнеса в рамках которых были ранее уменьшены взносы для представителей «</w:t>
      </w:r>
      <w:proofErr w:type="spellStart"/>
      <w:r w:rsidRPr="009C39EB">
        <w:rPr>
          <w:rFonts w:ascii="Times New Roman" w:hAnsi="Times New Roman"/>
          <w:sz w:val="24"/>
          <w:szCs w:val="24"/>
          <w:lang w:eastAsia="en-US" w:bidi="en-US"/>
        </w:rPr>
        <w:t>микробизнеса</w:t>
      </w:r>
      <w:proofErr w:type="spellEnd"/>
      <w:r w:rsidRPr="009C39EB">
        <w:rPr>
          <w:rFonts w:ascii="Times New Roman" w:hAnsi="Times New Roman"/>
          <w:sz w:val="24"/>
          <w:szCs w:val="24"/>
          <w:lang w:eastAsia="en-US" w:bidi="en-US"/>
        </w:rPr>
        <w:t>».</w:t>
      </w:r>
    </w:p>
    <w:p w14:paraId="005531DF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 За 2022 год 150 членов Союза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заявили  о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необходимости начисления им льготных ежеквартальных взносов из которых 72 члена отнесены к </w:t>
      </w:r>
      <w:proofErr w:type="spellStart"/>
      <w:r w:rsidRPr="009C39EB">
        <w:rPr>
          <w:rFonts w:ascii="Times New Roman" w:hAnsi="Times New Roman"/>
          <w:sz w:val="24"/>
          <w:szCs w:val="24"/>
          <w:lang w:eastAsia="en-US" w:bidi="en-US"/>
        </w:rPr>
        <w:t>микробизнесу</w:t>
      </w:r>
      <w:proofErr w:type="spell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, а к 78 членам был применен льготный 12-месячный период, все заявления были рассмотрены положительно. </w:t>
      </w:r>
    </w:p>
    <w:p w14:paraId="5F66E86A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Союз ведет достаточно лояльную политику по отношению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к членам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попавшим в ситуацию временных финансовых затруднений и идет навстречу таким членам в части рассрочки и отсрочки уплаты членами ежеквартальных взносов. </w:t>
      </w:r>
    </w:p>
    <w:p w14:paraId="09EF1164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lastRenderedPageBreak/>
        <w:t xml:space="preserve">Союз «КОП» за отчетный период продолжал проводить целенаправленную деятельность по планомерному контролю соблюдения требований к членству в Союзе, правил контроля, стандартов и правил саморегулирования, а также поддержке членов саморегулируемой организации. Особое внимание уделяется вопросам приема кандидатов в члены СРО, в ходе которого осуществляется тщательная проверка соответствия кандидата требованиям к членству, ведению архивного и служебного делопроизводств. </w:t>
      </w:r>
    </w:p>
    <w:p w14:paraId="337AD3E3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Союз, действуя в рамках полномочий, предусмотренных </w:t>
      </w:r>
      <w:proofErr w:type="spellStart"/>
      <w:r w:rsidRPr="009C39EB">
        <w:rPr>
          <w:rFonts w:ascii="Times New Roman" w:hAnsi="Times New Roman"/>
          <w:sz w:val="24"/>
          <w:szCs w:val="24"/>
          <w:lang w:eastAsia="en-US" w:bidi="en-US"/>
        </w:rPr>
        <w:t>ГрК</w:t>
      </w:r>
      <w:proofErr w:type="spell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РФ,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осуществляет  постоянный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мониторинг деятельности членов СРО, осуществляя следующие виды контроля по:</w:t>
      </w:r>
    </w:p>
    <w:p w14:paraId="0A1F8BE7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-страхованию гражданской ответственности, которая может наступить в результате причинения вреда вследствие недостатков работ по подготовке проектной документации;</w:t>
      </w:r>
    </w:p>
    <w:p w14:paraId="7746C7A0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-страхованию риска ответственности за нарушение условий договора подряда на подготовку проектной документации;</w:t>
      </w:r>
    </w:p>
    <w:p w14:paraId="7165337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 представлению ежегодной отчетности, в том числе, отчетности по договорным обязательствам;</w:t>
      </w:r>
    </w:p>
    <w:p w14:paraId="5275580B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-проведению аттестации специалистов (работников) членов СРО, должности которых подлежат аттестации в органах Ростехнадзора;</w:t>
      </w:r>
    </w:p>
    <w:p w14:paraId="7ABF6DCB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 повышению квалификации специалистов (работников) членов СРО;</w:t>
      </w:r>
    </w:p>
    <w:p w14:paraId="1CE3EFBF" w14:textId="77777777" w:rsidR="009C39EB" w:rsidRPr="009C39EB" w:rsidRDefault="009C39EB" w:rsidP="009C3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        - наличия сведений о специалистах членов СРО в Национальном реестре специалистов (НОПРИЗ);</w:t>
      </w:r>
    </w:p>
    <w:p w14:paraId="6F71348C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-мониторингу участия членов Союза в заключении договоров на подготовку проектной документации, заключенных с использованием конкурентных способов заключения договоров;</w:t>
      </w:r>
    </w:p>
    <w:p w14:paraId="64F9C79B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-соответствия членов СРО требованиям к членству в СРО;</w:t>
      </w:r>
    </w:p>
    <w:p w14:paraId="5D6B831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-иным видам контроля, установленные Федеральным законодательством и внутренними документами СРО.</w:t>
      </w:r>
    </w:p>
    <w:p w14:paraId="0091C868" w14:textId="77777777" w:rsidR="009C39EB" w:rsidRPr="009C39EB" w:rsidRDefault="009C39EB" w:rsidP="009C39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     Годовым (перспективным) планом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проверок  СОЮЗ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«КОП» на 2022 год предусматривалось проведение  333  проверок членов Союза против 463 в 2020 году.  уменьшение количества плановых проверок обусловлено </w:t>
      </w:r>
      <w:r w:rsidRPr="009C39EB">
        <w:rPr>
          <w:rFonts w:ascii="Times New Roman" w:hAnsi="Times New Roman"/>
          <w:color w:val="000000"/>
          <w:sz w:val="24"/>
          <w:szCs w:val="24"/>
          <w:lang w:eastAsia="en-US" w:bidi="en-US"/>
        </w:rPr>
        <w:t>применением риск-ориентированного подхода при планировании контрольно-проверочных мероприятий на 2022 год в соответствии с</w:t>
      </w:r>
      <w:r w:rsidRPr="009C39EB">
        <w:rPr>
          <w:rFonts w:ascii="Times New Roman" w:hAnsi="Times New Roman"/>
          <w:b/>
          <w:color w:val="000000"/>
          <w:sz w:val="24"/>
          <w:szCs w:val="24"/>
          <w:lang w:eastAsia="en-US" w:bidi="en-US"/>
        </w:rPr>
        <w:t xml:space="preserve"> </w:t>
      </w:r>
      <w:r w:rsidRPr="009C39E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Положением о контроле саморегулируемой организации Союз «КОП» за </w:t>
      </w:r>
      <w:proofErr w:type="gramStart"/>
      <w:r w:rsidRPr="009C39EB">
        <w:rPr>
          <w:rFonts w:ascii="Times New Roman" w:hAnsi="Times New Roman"/>
          <w:color w:val="000000"/>
          <w:sz w:val="24"/>
          <w:szCs w:val="24"/>
          <w:lang w:eastAsia="en-US" w:bidi="en-US"/>
        </w:rPr>
        <w:t>деятельностью  своих</w:t>
      </w:r>
      <w:proofErr w:type="gramEnd"/>
      <w:r w:rsidRPr="009C39E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 членов. </w:t>
      </w: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Таким образом, количество членов Союза, подлежащих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плановой  проверке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>, составило 60,9 %</w:t>
      </w:r>
      <w:r w:rsidRPr="009C39EB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(в 2020 г.- 84,8 % </w:t>
      </w:r>
      <w:r w:rsidRPr="009C39EB">
        <w:rPr>
          <w:rFonts w:ascii="Times New Roman" w:hAnsi="Times New Roman"/>
          <w:sz w:val="24"/>
          <w:szCs w:val="24"/>
          <w:lang w:eastAsia="en-US" w:bidi="en-US"/>
        </w:rPr>
        <w:t>)  от общей численности членов Союза на 01.01.2022.</w:t>
      </w:r>
    </w:p>
    <w:p w14:paraId="73C1DB3A" w14:textId="77777777" w:rsidR="009C39EB" w:rsidRPr="009C39EB" w:rsidRDefault="009C39EB" w:rsidP="009C39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>Из 333 запланированных КПМ проведено 313 или 94,0</w:t>
      </w:r>
      <w:r w:rsidRPr="009C39EB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% от общего числа запланированных проверок членов Союза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( с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учетом,  16 исключенных и выбывших членов СРО, а так же, переноса  проверок в отношении 13 -</w:t>
      </w:r>
      <w:proofErr w:type="spellStart"/>
      <w:r w:rsidRPr="009C39EB">
        <w:rPr>
          <w:rFonts w:ascii="Times New Roman" w:hAnsi="Times New Roman"/>
          <w:sz w:val="24"/>
          <w:szCs w:val="24"/>
          <w:lang w:eastAsia="en-US" w:bidi="en-US"/>
        </w:rPr>
        <w:t>ти</w:t>
      </w:r>
      <w:proofErr w:type="spell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членов на 2023 г.).</w:t>
      </w:r>
    </w:p>
    <w:p w14:paraId="6F0428AB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ab/>
        <w:t>Изменение сроков проведения проверок, как правило, было связано с отсутствием руководителя на момент проведения проверки.</w:t>
      </w:r>
    </w:p>
    <w:p w14:paraId="0D99236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В порядке контроля за устранением нарушений специалистами КЭК Союза «КОП» в соответствии с Положением о контроле и на основании приказа от 01.09.2014 № 35 в 2022 году проведено 41 внеплановая проверка по устранению недостатков, выявленных в ходе плановых контрольно-проверочных мероприятий. Этот показатель  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выше,  чем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в предыдущем году (против 8 мероприятия). </w:t>
      </w:r>
    </w:p>
    <w:p w14:paraId="46EF126F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A31021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iCs/>
          <w:sz w:val="24"/>
          <w:szCs w:val="24"/>
          <w:lang w:eastAsia="en-US" w:bidi="en-US"/>
        </w:rPr>
        <w:t>Значительное увеличение количества внеплановых проверок связано с совершенствованием деятельности Дисциплинарного комитета Союза и направлено на всестороннее рассмотрение дел в ходе заседаний Дисциплинарного комитета с учетом обстоятельств совершения нарушений обязательных требований.</w:t>
      </w:r>
    </w:p>
    <w:p w14:paraId="76AE99BA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результате плановых проверочных мероприятий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</w:t>
      </w:r>
      <w:r w:rsidRPr="009C39E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внесению сведений в реестр, наличию имущества, контролю качества работ внедрению стандартов. Данные по учитываемым</w:t>
      </w:r>
      <w:r w:rsidRPr="009C39E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  <w:lang w:eastAsia="en-US"/>
        </w:rPr>
        <w:t>показателям приведены в таблице: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1229"/>
        <w:gridCol w:w="1315"/>
        <w:gridCol w:w="1466"/>
        <w:gridCol w:w="1264"/>
        <w:gridCol w:w="833"/>
        <w:gridCol w:w="1199"/>
      </w:tblGrid>
      <w:tr w:rsidR="009C39EB" w:rsidRPr="009C39EB" w14:paraId="0A0A02BA" w14:textId="77777777" w:rsidTr="000A234C">
        <w:trPr>
          <w:trHeight w:val="442"/>
        </w:trPr>
        <w:tc>
          <w:tcPr>
            <w:tcW w:w="1923" w:type="dxa"/>
          </w:tcPr>
          <w:p w14:paraId="234C6950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7" w:type="dxa"/>
          </w:tcPr>
          <w:p w14:paraId="4570D58A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1427" w:type="dxa"/>
          </w:tcPr>
          <w:p w14:paraId="14BCE0CF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взносы</w:t>
            </w:r>
          </w:p>
        </w:tc>
        <w:tc>
          <w:tcPr>
            <w:tcW w:w="1482" w:type="dxa"/>
          </w:tcPr>
          <w:p w14:paraId="2D09183A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страхование</w:t>
            </w:r>
          </w:p>
        </w:tc>
        <w:tc>
          <w:tcPr>
            <w:tcW w:w="1264" w:type="dxa"/>
          </w:tcPr>
          <w:p w14:paraId="50F3374B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879" w:type="dxa"/>
          </w:tcPr>
          <w:p w14:paraId="1D9D2A5D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ОДО</w:t>
            </w:r>
          </w:p>
        </w:tc>
        <w:tc>
          <w:tcPr>
            <w:tcW w:w="1199" w:type="dxa"/>
          </w:tcPr>
          <w:p w14:paraId="316EFDC3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стандарты</w:t>
            </w:r>
          </w:p>
        </w:tc>
      </w:tr>
      <w:tr w:rsidR="009C39EB" w:rsidRPr="009C39EB" w14:paraId="2E473DDA" w14:textId="77777777" w:rsidTr="000A234C">
        <w:trPr>
          <w:trHeight w:val="442"/>
        </w:trPr>
        <w:tc>
          <w:tcPr>
            <w:tcW w:w="1923" w:type="dxa"/>
          </w:tcPr>
          <w:p w14:paraId="3D1747BA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67" w:type="dxa"/>
          </w:tcPr>
          <w:p w14:paraId="41278037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27" w:type="dxa"/>
          </w:tcPr>
          <w:p w14:paraId="236E8910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82" w:type="dxa"/>
          </w:tcPr>
          <w:p w14:paraId="628CDE70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64" w:type="dxa"/>
          </w:tcPr>
          <w:p w14:paraId="513E4E4C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79" w:type="dxa"/>
          </w:tcPr>
          <w:p w14:paraId="5E4E8AC1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</w:tcPr>
          <w:p w14:paraId="062E0374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C39EB" w:rsidRPr="009C39EB" w14:paraId="6DD67C9A" w14:textId="77777777" w:rsidTr="000A234C">
        <w:trPr>
          <w:trHeight w:val="442"/>
        </w:trPr>
        <w:tc>
          <w:tcPr>
            <w:tcW w:w="1923" w:type="dxa"/>
          </w:tcPr>
          <w:p w14:paraId="7E1C9D52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67" w:type="dxa"/>
          </w:tcPr>
          <w:p w14:paraId="2ACC5DC8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27" w:type="dxa"/>
          </w:tcPr>
          <w:p w14:paraId="7D369965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82" w:type="dxa"/>
          </w:tcPr>
          <w:p w14:paraId="32A7AC6E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4" w:type="dxa"/>
          </w:tcPr>
          <w:p w14:paraId="658ED1CC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79" w:type="dxa"/>
          </w:tcPr>
          <w:p w14:paraId="33137725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</w:tcPr>
          <w:p w14:paraId="0CCE9FD6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9C39EB" w:rsidRPr="009C39EB" w14:paraId="5CE26474" w14:textId="77777777" w:rsidTr="000A234C">
        <w:trPr>
          <w:trHeight w:val="442"/>
        </w:trPr>
        <w:tc>
          <w:tcPr>
            <w:tcW w:w="1923" w:type="dxa"/>
          </w:tcPr>
          <w:p w14:paraId="5877120F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–,</w:t>
            </w:r>
          </w:p>
          <w:p w14:paraId="6AFCBBDD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+ по сравнению с предыдущим годом, %</w:t>
            </w:r>
          </w:p>
        </w:tc>
        <w:tc>
          <w:tcPr>
            <w:tcW w:w="1267" w:type="dxa"/>
          </w:tcPr>
          <w:p w14:paraId="7CBFF522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- 19</w:t>
            </w:r>
          </w:p>
        </w:tc>
        <w:tc>
          <w:tcPr>
            <w:tcW w:w="1427" w:type="dxa"/>
          </w:tcPr>
          <w:p w14:paraId="6B2C1043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- 29,6</w:t>
            </w:r>
          </w:p>
        </w:tc>
        <w:tc>
          <w:tcPr>
            <w:tcW w:w="1482" w:type="dxa"/>
          </w:tcPr>
          <w:p w14:paraId="1478BE5F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- 31,1</w:t>
            </w:r>
          </w:p>
        </w:tc>
        <w:tc>
          <w:tcPr>
            <w:tcW w:w="1264" w:type="dxa"/>
          </w:tcPr>
          <w:p w14:paraId="772C08DE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- 64,7</w:t>
            </w:r>
          </w:p>
        </w:tc>
        <w:tc>
          <w:tcPr>
            <w:tcW w:w="879" w:type="dxa"/>
          </w:tcPr>
          <w:p w14:paraId="6F5D1BFD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9" w:type="dxa"/>
          </w:tcPr>
          <w:p w14:paraId="6207B61D" w14:textId="77777777" w:rsidR="009C39EB" w:rsidRPr="009C39EB" w:rsidRDefault="009C39EB" w:rsidP="009C39EB">
            <w:pPr>
              <w:autoSpaceDE w:val="0"/>
              <w:autoSpaceDN w:val="0"/>
              <w:adjustRightInd w:val="0"/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C39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- 42,9</w:t>
            </w:r>
          </w:p>
        </w:tc>
      </w:tr>
    </w:tbl>
    <w:p w14:paraId="7434A1E2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3362F3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Анализ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таблицы  показывает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, что по сравнению с соответствующим периодом 2021 года (на 31.12.2021) в целом количество нарушений </w:t>
      </w:r>
      <w:r w:rsidRPr="009C39EB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уменьшилось, что связано, в том числе, с профилактической работой специалистов КЭК с членами Союза в части контроля своевременного выполнения обязательств, вытекающих из членства в Союзе, срокам предоставления отчетности. </w:t>
      </w:r>
    </w:p>
    <w:p w14:paraId="2867C3E5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По итогам контрольно-проверочных мероприятий в 2022 году было проведено 46 заседаний Дисциплинарного комитета, на которых было рассмотрено свыше 100 дисциплинарных производств и выдано: 40 предписаний об устранении выявленных при проверках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нарушений,  предупреждений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-0 , </w:t>
      </w:r>
      <w:r w:rsidRPr="009C39EB">
        <w:rPr>
          <w:rFonts w:ascii="Times New Roman" w:hAnsi="Times New Roman"/>
          <w:color w:val="000000"/>
          <w:sz w:val="24"/>
          <w:szCs w:val="24"/>
        </w:rPr>
        <w:t>приостановлено право осуществления деятельности в отношении — 16 членов,  рекомендовано к исключению 19 членов, снято взысканий — 47 членам.</w:t>
      </w:r>
    </w:p>
    <w:p w14:paraId="2FD2E3D6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9C39EB">
        <w:rPr>
          <w:rFonts w:ascii="Times New Roman" w:eastAsia="Calibri" w:hAnsi="Times New Roman"/>
          <w:sz w:val="24"/>
          <w:szCs w:val="24"/>
        </w:rPr>
        <w:t>С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1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и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ю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ля</w:t>
      </w:r>
      <w:r w:rsidRPr="009C39EB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2017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да</w:t>
      </w:r>
      <w:r w:rsidRPr="009C39EB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Союз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ведет</w:t>
      </w:r>
      <w:r w:rsidRPr="009C39EB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2"/>
          <w:sz w:val="24"/>
          <w:szCs w:val="24"/>
        </w:rPr>
        <w:t>учет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и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контроль</w:t>
      </w:r>
      <w:r w:rsidRPr="009C39EB">
        <w:rPr>
          <w:rFonts w:ascii="Times New Roman" w:eastAsia="Calibri" w:hAnsi="Times New Roman"/>
          <w:spacing w:val="-1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оворов</w:t>
      </w:r>
      <w:r w:rsidRPr="009C39EB">
        <w:rPr>
          <w:rFonts w:ascii="Times New Roman" w:eastAsia="Calibri" w:hAnsi="Times New Roman"/>
          <w:spacing w:val="-1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подря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да,</w:t>
      </w:r>
      <w:r w:rsidRPr="009C39EB">
        <w:rPr>
          <w:rFonts w:ascii="Times New Roman" w:eastAsia="Calibri" w:hAnsi="Times New Roman"/>
          <w:sz w:val="24"/>
          <w:szCs w:val="24"/>
        </w:rPr>
        <w:t xml:space="preserve"> заключенных</w:t>
      </w:r>
      <w:r w:rsidRPr="009C39EB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членами</w:t>
      </w:r>
      <w:r w:rsidRPr="009C39EB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Союза</w:t>
      </w:r>
      <w:r w:rsidRPr="009C39EB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с</w:t>
      </w:r>
      <w:r w:rsidRPr="009C39EB">
        <w:rPr>
          <w:rFonts w:ascii="Times New Roman" w:eastAsia="Calibri" w:hAnsi="Times New Roman"/>
          <w:spacing w:val="4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использовани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м</w:t>
      </w:r>
      <w:r w:rsidRPr="009C39EB">
        <w:rPr>
          <w:rFonts w:ascii="Times New Roman" w:eastAsia="Calibri" w:hAnsi="Times New Roman"/>
          <w:spacing w:val="45"/>
          <w:sz w:val="24"/>
          <w:szCs w:val="24"/>
        </w:rPr>
        <w:t xml:space="preserve"> </w:t>
      </w:r>
      <w:proofErr w:type="spellStart"/>
      <w:r w:rsidRPr="009C39EB">
        <w:rPr>
          <w:rFonts w:ascii="Times New Roman" w:eastAsia="Calibri" w:hAnsi="Times New Roman"/>
          <w:sz w:val="24"/>
          <w:szCs w:val="24"/>
        </w:rPr>
        <w:t>конкурентых</w:t>
      </w:r>
      <w:proofErr w:type="spellEnd"/>
      <w:r w:rsidRPr="009C39EB">
        <w:rPr>
          <w:rFonts w:ascii="Times New Roman" w:eastAsia="Calibri" w:hAnsi="Times New Roman"/>
          <w:spacing w:val="37"/>
          <w:w w:val="9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сп</w:t>
      </w:r>
      <w:r w:rsidRPr="009C39EB">
        <w:rPr>
          <w:rFonts w:ascii="Times New Roman" w:eastAsia="Calibri" w:hAnsi="Times New Roman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с</w:t>
      </w:r>
      <w:r w:rsidRPr="009C39EB">
        <w:rPr>
          <w:rFonts w:ascii="Times New Roman" w:eastAsia="Calibri" w:hAnsi="Times New Roman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б</w:t>
      </w:r>
      <w:r w:rsidRPr="009C39EB">
        <w:rPr>
          <w:rFonts w:ascii="Times New Roman" w:eastAsia="Calibri" w:hAnsi="Times New Roman"/>
          <w:sz w:val="24"/>
          <w:szCs w:val="24"/>
        </w:rPr>
        <w:t>ов</w:t>
      </w:r>
      <w:r w:rsidRPr="009C39EB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заключения</w:t>
      </w:r>
      <w:r w:rsidRPr="009C39EB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оворов.</w:t>
      </w:r>
    </w:p>
    <w:p w14:paraId="487B52B2" w14:textId="77777777" w:rsidR="009C39EB" w:rsidRPr="009C39EB" w:rsidRDefault="009C39EB" w:rsidP="009C39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C39EB">
        <w:rPr>
          <w:rFonts w:ascii="Times New Roman" w:eastAsia="Calibri" w:hAnsi="Times New Roman"/>
          <w:spacing w:val="3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К</w:t>
      </w:r>
      <w:r w:rsidRPr="009C39EB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та</w:t>
      </w:r>
      <w:r w:rsidRPr="009C39EB">
        <w:rPr>
          <w:rFonts w:ascii="Times New Roman" w:eastAsia="Calibri" w:hAnsi="Times New Roman"/>
          <w:sz w:val="24"/>
          <w:szCs w:val="24"/>
        </w:rPr>
        <w:t>ким</w:t>
      </w:r>
      <w:r w:rsidRPr="009C39EB">
        <w:rPr>
          <w:rFonts w:ascii="Times New Roman" w:eastAsia="Calibri" w:hAnsi="Times New Roman"/>
          <w:spacing w:val="3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оворам</w:t>
      </w:r>
      <w:r w:rsidRPr="009C39EB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относятся</w:t>
      </w:r>
      <w:r w:rsidRPr="009C39EB">
        <w:rPr>
          <w:rFonts w:ascii="Times New Roman" w:eastAsia="Calibri" w:hAnsi="Times New Roman"/>
          <w:spacing w:val="3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д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овор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а,</w:t>
      </w:r>
      <w:r w:rsidRPr="009C39EB">
        <w:rPr>
          <w:rFonts w:ascii="Times New Roman" w:eastAsia="Calibri" w:hAnsi="Times New Roman"/>
          <w:spacing w:val="31"/>
          <w:w w:val="9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закл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ю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ченны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в</w:t>
      </w:r>
      <w:r w:rsidRPr="009C39E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рамках:</w:t>
      </w:r>
    </w:p>
    <w:p w14:paraId="3E205B38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C39EB">
        <w:rPr>
          <w:rFonts w:ascii="Times New Roman" w:eastAsia="Calibri" w:hAnsi="Times New Roman"/>
          <w:sz w:val="24"/>
          <w:szCs w:val="24"/>
        </w:rPr>
        <w:t>•</w:t>
      </w:r>
      <w:r w:rsidRPr="009C39EB">
        <w:rPr>
          <w:rFonts w:ascii="Times New Roman" w:eastAsia="Calibri" w:hAnsi="Times New Roman"/>
          <w:spacing w:val="3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ФЗ</w:t>
      </w:r>
      <w:r w:rsidRPr="009C39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№44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«О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контрактной</w:t>
      </w:r>
      <w:r w:rsidRPr="009C39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си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м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в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с</w:t>
      </w:r>
      <w:r w:rsidRPr="009C39EB">
        <w:rPr>
          <w:rFonts w:ascii="Times New Roman" w:eastAsia="Calibri" w:hAnsi="Times New Roman"/>
          <w:sz w:val="24"/>
          <w:szCs w:val="24"/>
        </w:rPr>
        <w:t>ф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ере</w:t>
      </w:r>
      <w:r w:rsidRPr="009C39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з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9C39EB">
        <w:rPr>
          <w:rFonts w:ascii="Times New Roman" w:eastAsia="Calibri" w:hAnsi="Times New Roman"/>
          <w:sz w:val="24"/>
          <w:szCs w:val="24"/>
        </w:rPr>
        <w:t>к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9C39EB">
        <w:rPr>
          <w:rFonts w:ascii="Times New Roman" w:eastAsia="Calibri" w:hAnsi="Times New Roman"/>
          <w:sz w:val="24"/>
          <w:szCs w:val="24"/>
        </w:rPr>
        <w:t>пок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товаров,</w:t>
      </w:r>
      <w:r w:rsidRPr="009C39EB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р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аб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от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,</w:t>
      </w:r>
      <w:r w:rsidRPr="009C39E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услуг</w:t>
      </w:r>
      <w:r w:rsidRPr="009C39EB">
        <w:rPr>
          <w:rFonts w:ascii="Times New Roman" w:eastAsia="Calibri" w:hAnsi="Times New Roman"/>
          <w:spacing w:val="56"/>
          <w:w w:val="9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для</w:t>
      </w:r>
      <w:r w:rsidRPr="009C39EB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обеспечения</w:t>
      </w:r>
      <w:r w:rsidRPr="009C39EB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г</w:t>
      </w:r>
      <w:r w:rsidRPr="009C39EB">
        <w:rPr>
          <w:rFonts w:ascii="Times New Roman" w:eastAsia="Calibri" w:hAnsi="Times New Roman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суд</w:t>
      </w:r>
      <w:r w:rsidRPr="009C39EB">
        <w:rPr>
          <w:rFonts w:ascii="Times New Roman" w:eastAsia="Calibri" w:hAnsi="Times New Roman"/>
          <w:sz w:val="24"/>
          <w:szCs w:val="24"/>
        </w:rPr>
        <w:t>ар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ствен</w:t>
      </w:r>
      <w:r w:rsidRPr="009C39EB">
        <w:rPr>
          <w:rFonts w:ascii="Times New Roman" w:eastAsia="Calibri" w:hAnsi="Times New Roman"/>
          <w:sz w:val="24"/>
          <w:szCs w:val="24"/>
        </w:rPr>
        <w:t>н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ых</w:t>
      </w:r>
      <w:r w:rsidRPr="009C39EB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и</w:t>
      </w:r>
      <w:r w:rsidRPr="009C39EB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муниципальных</w:t>
      </w:r>
      <w:r w:rsidRPr="009C39EB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н</w:t>
      </w:r>
      <w:r w:rsidRPr="009C39EB">
        <w:rPr>
          <w:rFonts w:ascii="Times New Roman" w:eastAsia="Calibri" w:hAnsi="Times New Roman"/>
          <w:spacing w:val="2"/>
          <w:sz w:val="24"/>
          <w:szCs w:val="24"/>
        </w:rPr>
        <w:t>у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ж</w:t>
      </w:r>
      <w:r w:rsidRPr="009C39EB">
        <w:rPr>
          <w:rFonts w:ascii="Times New Roman" w:eastAsia="Calibri" w:hAnsi="Times New Roman"/>
          <w:spacing w:val="2"/>
          <w:sz w:val="24"/>
          <w:szCs w:val="24"/>
        </w:rPr>
        <w:t>д»</w:t>
      </w:r>
      <w:r w:rsidRPr="009C39EB">
        <w:rPr>
          <w:rFonts w:ascii="Times New Roman" w:eastAsia="Calibri" w:hAnsi="Times New Roman"/>
          <w:spacing w:val="5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(в</w:t>
      </w:r>
      <w:r w:rsidRPr="009C39EB">
        <w:rPr>
          <w:rFonts w:ascii="Times New Roman" w:eastAsia="Calibri" w:hAnsi="Times New Roman"/>
          <w:spacing w:val="5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том</w:t>
      </w:r>
      <w:r w:rsidRPr="009C39EB">
        <w:rPr>
          <w:rFonts w:ascii="Times New Roman" w:eastAsia="Calibri" w:hAnsi="Times New Roman"/>
          <w:spacing w:val="42"/>
          <w:w w:val="101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чи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сле</w:t>
      </w:r>
      <w:r w:rsidRPr="009C39EB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з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9C39EB">
        <w:rPr>
          <w:rFonts w:ascii="Times New Roman" w:eastAsia="Calibri" w:hAnsi="Times New Roman"/>
          <w:sz w:val="24"/>
          <w:szCs w:val="24"/>
        </w:rPr>
        <w:t>к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9C39EB">
        <w:rPr>
          <w:rFonts w:ascii="Times New Roman" w:eastAsia="Calibri" w:hAnsi="Times New Roman"/>
          <w:sz w:val="24"/>
          <w:szCs w:val="24"/>
        </w:rPr>
        <w:t>пки</w:t>
      </w:r>
      <w:r w:rsidRPr="009C39EB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у</w:t>
      </w:r>
      <w:r w:rsidRPr="009C39EB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дин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твенно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г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поставщика);</w:t>
      </w:r>
    </w:p>
    <w:p w14:paraId="7A58440A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C39EB">
        <w:rPr>
          <w:rFonts w:ascii="Times New Roman" w:eastAsia="Calibri" w:hAnsi="Times New Roman"/>
          <w:sz w:val="24"/>
          <w:szCs w:val="24"/>
        </w:rPr>
        <w:t>•</w:t>
      </w:r>
      <w:r w:rsidRPr="009C39EB">
        <w:rPr>
          <w:rFonts w:ascii="Times New Roman" w:eastAsia="Calibri" w:hAnsi="Times New Roman"/>
          <w:spacing w:val="4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ФЗ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№223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«О</w:t>
      </w:r>
      <w:r w:rsidRPr="009C39E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з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а</w:t>
      </w:r>
      <w:r w:rsidRPr="009C39EB">
        <w:rPr>
          <w:rFonts w:ascii="Times New Roman" w:eastAsia="Calibri" w:hAnsi="Times New Roman"/>
          <w:sz w:val="24"/>
          <w:szCs w:val="24"/>
        </w:rPr>
        <w:t>к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у</w:t>
      </w:r>
      <w:r w:rsidRPr="009C39EB">
        <w:rPr>
          <w:rFonts w:ascii="Times New Roman" w:eastAsia="Calibri" w:hAnsi="Times New Roman"/>
          <w:sz w:val="24"/>
          <w:szCs w:val="24"/>
        </w:rPr>
        <w:t>пк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ах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товаров,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р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аб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от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,</w:t>
      </w:r>
      <w:r w:rsidRPr="009C39EB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услуг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от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де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льными</w:t>
      </w:r>
      <w:r w:rsidRPr="009C39E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видами</w:t>
      </w:r>
      <w:r w:rsidRPr="009C39EB">
        <w:rPr>
          <w:rFonts w:ascii="Times New Roman" w:eastAsia="Calibri" w:hAnsi="Times New Roman"/>
          <w:spacing w:val="34"/>
          <w:w w:val="101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юридич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ских</w:t>
      </w:r>
      <w:r w:rsidRPr="009C39EB">
        <w:rPr>
          <w:rFonts w:ascii="Times New Roman" w:eastAsia="Calibri" w:hAnsi="Times New Roman"/>
          <w:spacing w:val="-42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ли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ц»;</w:t>
      </w:r>
    </w:p>
    <w:p w14:paraId="27372587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9C39EB">
        <w:rPr>
          <w:rFonts w:ascii="Times New Roman" w:eastAsia="Calibri" w:hAnsi="Times New Roman"/>
          <w:sz w:val="24"/>
          <w:szCs w:val="24"/>
        </w:rPr>
        <w:t>•</w:t>
      </w:r>
      <w:r w:rsidRPr="009C39EB">
        <w:rPr>
          <w:rFonts w:ascii="Times New Roman" w:eastAsia="Calibri" w:hAnsi="Times New Roman"/>
          <w:spacing w:val="40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По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с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тановления</w:t>
      </w:r>
      <w:r w:rsidRPr="009C39EB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Правительства</w:t>
      </w:r>
      <w:r w:rsidRPr="009C39EB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Р</w:t>
      </w:r>
      <w:r w:rsidRPr="009C39EB">
        <w:rPr>
          <w:rFonts w:ascii="Times New Roman" w:eastAsia="Calibri" w:hAnsi="Times New Roman"/>
          <w:spacing w:val="2"/>
          <w:sz w:val="24"/>
          <w:szCs w:val="24"/>
        </w:rPr>
        <w:t>Ф</w:t>
      </w:r>
      <w:r w:rsidRPr="009C39EB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от</w:t>
      </w:r>
      <w:r w:rsidRPr="009C39EB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01.07.2016</w:t>
      </w:r>
      <w:r w:rsidRPr="009C39EB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№</w:t>
      </w:r>
      <w:r w:rsidRPr="009C39EB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615</w:t>
      </w:r>
      <w:r w:rsidRPr="009C39EB">
        <w:rPr>
          <w:rFonts w:ascii="Times New Roman" w:eastAsia="Calibri" w:hAnsi="Times New Roman"/>
          <w:spacing w:val="49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«О</w:t>
      </w:r>
      <w:r w:rsidRPr="009C39EB">
        <w:rPr>
          <w:rFonts w:ascii="Times New Roman" w:eastAsia="Calibri" w:hAnsi="Times New Roman"/>
          <w:spacing w:val="4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порядк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44"/>
          <w:w w:val="95"/>
          <w:sz w:val="24"/>
          <w:szCs w:val="24"/>
        </w:rPr>
        <w:t xml:space="preserve"> </w:t>
      </w:r>
      <w:proofErr w:type="gramStart"/>
      <w:r w:rsidRPr="009C39EB">
        <w:rPr>
          <w:rFonts w:ascii="Times New Roman" w:eastAsia="Calibri" w:hAnsi="Times New Roman"/>
          <w:spacing w:val="-1"/>
          <w:sz w:val="24"/>
          <w:szCs w:val="24"/>
        </w:rPr>
        <w:t>привл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е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чения</w:t>
      </w:r>
      <w:r w:rsidRPr="009C39EB">
        <w:rPr>
          <w:rFonts w:ascii="Times New Roman" w:eastAsia="Calibri" w:hAnsi="Times New Roman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подрядн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ых</w:t>
      </w:r>
      <w:proofErr w:type="gramEnd"/>
      <w:r w:rsidRPr="009C39EB">
        <w:rPr>
          <w:rFonts w:ascii="Times New Roman" w:eastAsia="Calibri" w:hAnsi="Times New Roman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организаций </w:t>
      </w:r>
      <w:r w:rsidRPr="009C39EB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для </w:t>
      </w:r>
      <w:r w:rsidRPr="009C39E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оказания </w:t>
      </w:r>
      <w:r w:rsidRPr="009C39EB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услуг </w:t>
      </w:r>
      <w:r w:rsidRPr="009C39E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и </w:t>
      </w:r>
      <w:r w:rsidRPr="009C39EB">
        <w:rPr>
          <w:rFonts w:ascii="Times New Roman" w:eastAsia="Calibri" w:hAnsi="Times New Roman"/>
          <w:spacing w:val="23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 xml:space="preserve">(или) 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выпо</w:t>
      </w:r>
      <w:r w:rsidRPr="009C39EB">
        <w:rPr>
          <w:rFonts w:ascii="Times New Roman" w:eastAsia="Calibri" w:hAnsi="Times New Roman"/>
          <w:spacing w:val="-3"/>
          <w:sz w:val="24"/>
          <w:szCs w:val="24"/>
        </w:rPr>
        <w:t>л</w:t>
      </w:r>
      <w:r w:rsidRPr="009C39EB">
        <w:rPr>
          <w:rFonts w:ascii="Times New Roman" w:eastAsia="Calibri" w:hAnsi="Times New Roman"/>
          <w:spacing w:val="-2"/>
          <w:sz w:val="24"/>
          <w:szCs w:val="24"/>
        </w:rPr>
        <w:t>нения</w:t>
      </w:r>
      <w:r w:rsidRPr="009C39EB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р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аб</w:t>
      </w:r>
      <w:r w:rsidRPr="009C39EB">
        <w:rPr>
          <w:rFonts w:ascii="Times New Roman" w:eastAsia="Calibri" w:hAnsi="Times New Roman"/>
          <w:sz w:val="24"/>
          <w:szCs w:val="24"/>
        </w:rPr>
        <w:t>о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т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pacing w:val="-1"/>
          <w:sz w:val="24"/>
          <w:szCs w:val="24"/>
        </w:rPr>
        <w:t>по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капитальному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ремонту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общего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им</w:t>
      </w:r>
      <w:r w:rsidRPr="009C39EB">
        <w:rPr>
          <w:rFonts w:ascii="Times New Roman" w:eastAsia="Calibri" w:hAnsi="Times New Roman"/>
          <w:spacing w:val="1"/>
          <w:sz w:val="24"/>
          <w:szCs w:val="24"/>
        </w:rPr>
        <w:t>ущества</w:t>
      </w:r>
      <w:r w:rsidRPr="009C39EB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</w:rPr>
        <w:t>…»</w:t>
      </w:r>
    </w:p>
    <w:p w14:paraId="09A7631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До 01 марта 2021 года  в целях исполнения обязанности, предусмотренной  п.4 ст. 55.8 </w:t>
      </w:r>
      <w:proofErr w:type="spellStart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ГрК</w:t>
      </w:r>
      <w:proofErr w:type="spellEnd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РФ,  Союзом были собраны с членов Союза осуществляющих подготовку проектной документации по договорам, заключенным с использованием  конкурентных способов заключения договоров, Уведомления о фактическом  совокупном  размере обязательств по договорам подряда на подготовку проектной документации, заключенных с использованием  конкурентных способов заключения договоров, проведен их анализ и, в случае выявления превышения членом Союза уровня ответственности,  были выданы соответствующие предупреждения.  </w:t>
      </w:r>
    </w:p>
    <w:p w14:paraId="75923CC7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9EB">
        <w:rPr>
          <w:rFonts w:ascii="Times New Roman" w:hAnsi="Times New Roman"/>
          <w:sz w:val="24"/>
          <w:szCs w:val="24"/>
          <w:shd w:val="clear" w:color="auto" w:fill="FFFFFF"/>
        </w:rPr>
        <w:t xml:space="preserve">В результате проверок превышение уровня ответственности по договорным обязательствам за 2022 год не выявлено. </w:t>
      </w:r>
    </w:p>
    <w:p w14:paraId="0632980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9EB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По данным представленным членами Союза за 2021 год, в стадии «Исполнение» на 31.12.21 находились </w:t>
      </w:r>
      <w:r w:rsidRPr="009C39EB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259 (против </w:t>
      </w:r>
      <w:proofErr w:type="gramStart"/>
      <w:r w:rsidRPr="009C39EB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>270  в</w:t>
      </w:r>
      <w:proofErr w:type="gramEnd"/>
      <w:r w:rsidRPr="009C39EB">
        <w:rPr>
          <w:rFonts w:ascii="Times New Roman" w:eastAsiaTheme="minorHAnsi" w:hAnsi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 2021 г.) договоров, заключенных членами Союза , на общую сумму.647883498 руб. (против  455 165 788 руб.  в 2021 г.)"</w:t>
      </w:r>
    </w:p>
    <w:p w14:paraId="5E000B01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lastRenderedPageBreak/>
        <w:t xml:space="preserve">Союз </w:t>
      </w:r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в</w:t>
      </w:r>
      <w:proofErr w:type="gramEnd"/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ж</w:t>
      </w:r>
      <w:r w:rsidRPr="009C39EB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дневном</w:t>
      </w:r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р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жим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проводит</w:t>
      </w:r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мониторин</w:t>
      </w:r>
      <w:r w:rsidRPr="009C39EB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г</w:t>
      </w:r>
      <w:r w:rsidRPr="009C39E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рее</w:t>
      </w:r>
      <w:r w:rsidRPr="009C39EB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>с</w:t>
      </w:r>
      <w:r w:rsidRPr="009C39EB">
        <w:rPr>
          <w:rFonts w:ascii="Times New Roman" w:eastAsia="Calibri" w:hAnsi="Times New Roman"/>
          <w:color w:val="231F20"/>
          <w:spacing w:val="4"/>
          <w:sz w:val="24"/>
          <w:szCs w:val="24"/>
          <w:lang w:eastAsia="en-US"/>
        </w:rPr>
        <w:t>т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р</w:t>
      </w:r>
      <w:r w:rsidRPr="009C39EB">
        <w:rPr>
          <w:rFonts w:ascii="Times New Roman" w:eastAsia="Calibri" w:hAnsi="Times New Roman"/>
          <w:color w:val="231F20"/>
          <w:spacing w:val="32"/>
          <w:sz w:val="24"/>
          <w:szCs w:val="24"/>
          <w:lang w:eastAsia="en-US"/>
        </w:rPr>
        <w:t xml:space="preserve">а </w:t>
      </w:r>
      <w:r w:rsidRPr="009C39EB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зак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л</w:t>
      </w:r>
      <w:r w:rsidRPr="009C39EB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ю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ч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нн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ых</w:t>
      </w:r>
      <w:r w:rsidRPr="009C39EB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членами</w:t>
      </w:r>
      <w:r w:rsidRPr="009C39EB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 xml:space="preserve">Союза </w:t>
      </w:r>
      <w:r w:rsidRPr="009C39EB">
        <w:rPr>
          <w:rFonts w:ascii="Times New Roman" w:eastAsia="Calibri" w:hAnsi="Times New Roman"/>
          <w:color w:val="231F20"/>
          <w:spacing w:val="-33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3"/>
          <w:sz w:val="24"/>
          <w:szCs w:val="24"/>
          <w:lang w:eastAsia="en-US"/>
        </w:rPr>
        <w:t>д</w:t>
      </w:r>
      <w:r w:rsidRPr="009C39EB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г</w:t>
      </w:r>
      <w:r w:rsidRPr="009C39EB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в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</w:t>
      </w:r>
      <w:r w:rsidRPr="009C39EB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31"/>
          <w:sz w:val="24"/>
          <w:szCs w:val="24"/>
          <w:lang w:eastAsia="en-US"/>
        </w:rPr>
        <w:t xml:space="preserve">в 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н</w:t>
      </w:r>
      <w:r w:rsidRPr="009C39EB">
        <w:rPr>
          <w:rFonts w:ascii="Times New Roman" w:eastAsia="Calibri" w:hAnsi="Times New Roman"/>
          <w:color w:val="231F20"/>
          <w:spacing w:val="32"/>
          <w:sz w:val="24"/>
          <w:szCs w:val="24"/>
          <w:lang w:eastAsia="en-US"/>
        </w:rPr>
        <w:t xml:space="preserve">а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</w:t>
      </w:r>
      <w:r w:rsidRPr="009C39EB">
        <w:rPr>
          <w:rFonts w:ascii="Times New Roman" w:eastAsia="Calibri" w:hAnsi="Times New Roman"/>
          <w:color w:val="231F20"/>
          <w:spacing w:val="2"/>
          <w:sz w:val="24"/>
          <w:szCs w:val="24"/>
          <w:lang w:eastAsia="en-US"/>
        </w:rPr>
        <w:t>р</w:t>
      </w:r>
      <w:r w:rsidRPr="009C39EB">
        <w:rPr>
          <w:rFonts w:ascii="Times New Roman" w:eastAsia="Calibri" w:hAnsi="Times New Roman"/>
          <w:color w:val="231F20"/>
          <w:spacing w:val="-5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д</w:t>
      </w:r>
      <w:r w:rsidRPr="009C39EB">
        <w:rPr>
          <w:rFonts w:ascii="Times New Roman" w:eastAsia="Calibri" w:hAnsi="Times New Roman"/>
          <w:color w:val="231F20"/>
          <w:spacing w:val="-4"/>
          <w:sz w:val="24"/>
          <w:szCs w:val="24"/>
          <w:lang w:eastAsia="en-US"/>
        </w:rPr>
        <w:t>м</w:t>
      </w:r>
      <w:r w:rsidRPr="009C39EB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>е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т</w:t>
      </w:r>
      <w:r w:rsidRPr="009C39EB">
        <w:rPr>
          <w:rFonts w:ascii="Times New Roman" w:eastAsia="Calibri" w:hAnsi="Times New Roman"/>
          <w:color w:val="231F20"/>
          <w:spacing w:val="-34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выявления</w:t>
      </w:r>
      <w:r w:rsidRPr="009C39EB">
        <w:rPr>
          <w:rFonts w:ascii="Times New Roman" w:eastAsia="Calibri" w:hAnsi="Times New Roman"/>
          <w:color w:val="231F20"/>
          <w:spacing w:val="240"/>
          <w:w w:val="106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фактов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превышения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ус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тановленно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г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лимита </w:t>
      </w:r>
      <w:r w:rsidRPr="009C39EB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тветствен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но</w:t>
      </w:r>
      <w:r w:rsidRPr="009C39EB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с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ти </w:t>
      </w:r>
      <w:r w:rsidRPr="009C39EB">
        <w:rPr>
          <w:rFonts w:ascii="Times New Roman" w:eastAsia="Calibri" w:hAnsi="Times New Roman"/>
          <w:color w:val="231F20"/>
          <w:spacing w:val="7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по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6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1"/>
          <w:sz w:val="24"/>
          <w:szCs w:val="24"/>
          <w:lang w:eastAsia="en-US"/>
        </w:rPr>
        <w:t>та</w:t>
      </w:r>
      <w:r w:rsidRPr="009C39EB">
        <w:rPr>
          <w:rFonts w:ascii="Times New Roman" w:eastAsia="Calibri" w:hAnsi="Times New Roman"/>
          <w:color w:val="231F20"/>
          <w:sz w:val="24"/>
          <w:szCs w:val="24"/>
          <w:lang w:eastAsia="en-US"/>
        </w:rPr>
        <w:t>ким</w:t>
      </w:r>
      <w:r w:rsidRPr="009C39E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д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</w:t>
      </w:r>
      <w:r w:rsidRPr="009C39EB">
        <w:rPr>
          <w:rFonts w:ascii="Times New Roman" w:eastAsia="Calibri" w:hAnsi="Times New Roman"/>
          <w:color w:val="231F20"/>
          <w:spacing w:val="-2"/>
          <w:sz w:val="24"/>
          <w:szCs w:val="24"/>
          <w:lang w:eastAsia="en-US"/>
        </w:rPr>
        <w:t>г</w:t>
      </w:r>
      <w:r w:rsidRPr="009C39EB">
        <w:rPr>
          <w:rFonts w:ascii="Times New Roman" w:eastAsia="Calibri" w:hAnsi="Times New Roman"/>
          <w:color w:val="231F20"/>
          <w:spacing w:val="-1"/>
          <w:sz w:val="24"/>
          <w:szCs w:val="24"/>
          <w:lang w:eastAsia="en-US"/>
        </w:rPr>
        <w:t>оворам.</w:t>
      </w:r>
    </w:p>
    <w:p w14:paraId="42B30EDD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В 2022 году объем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работы  отдела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по страхованию остался примерно на прежнем уровне. </w:t>
      </w:r>
      <w:r w:rsidRPr="009C39EB">
        <w:rPr>
          <w:rFonts w:ascii="Times New Roman" w:eastAsia="Calibri" w:hAnsi="Times New Roman"/>
          <w:sz w:val="24"/>
          <w:szCs w:val="24"/>
          <w:u w:val="single"/>
          <w:lang w:eastAsia="en-US"/>
        </w:rPr>
        <w:t>Статистика работы (в цифрах) с организациями-  членами за год:</w:t>
      </w:r>
    </w:p>
    <w:p w14:paraId="6A4E0488" w14:textId="77777777" w:rsidR="009C39EB" w:rsidRPr="009C39EB" w:rsidRDefault="009C39EB" w:rsidP="009C39E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Количество заключенных в 2021 г. договоров страхования всего – 478 (против 460 в 2021 г.). Договоров </w:t>
      </w:r>
      <w:r w:rsidRPr="009C39E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страхования риска ответственности за нарушение условий </w:t>
      </w:r>
      <w:proofErr w:type="gramStart"/>
      <w:r w:rsidRPr="009C39E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договора  подряда</w:t>
      </w:r>
      <w:proofErr w:type="gramEnd"/>
      <w:r w:rsidRPr="009C39EB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на  подготовку проектной документации за отчетный период -1, поскольку в наших правилах страхования ответственности установлен критерий об отсутствии такой необходимости в случае наличия определенного размера обеспечения по заключенному контракту с использованием  конкурентных процедур.</w:t>
      </w:r>
    </w:p>
    <w:p w14:paraId="4E10C3DA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- Страховая сумма по всем договорам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более  -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>более 1,3 млрд. руб..</w:t>
      </w:r>
    </w:p>
    <w:p w14:paraId="743651F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- выдано предписаний в части страхования членам Союза – 11 шт.</w:t>
      </w:r>
    </w:p>
    <w:p w14:paraId="62F46845" w14:textId="77777777" w:rsidR="009C39EB" w:rsidRPr="009C39EB" w:rsidRDefault="009C39EB" w:rsidP="009C39E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Мы продолжаем удерживать ценовую политику страхования на уровне предыдущих лет, средняя стоимость полиса для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члена  Союза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по прежнему составляла — 5-7 тысяч рублей.</w:t>
      </w:r>
      <w:r w:rsidRPr="009C39EB">
        <w:rPr>
          <w:rFonts w:ascii="Times New Roman" w:eastAsia="Calibri" w:hAnsi="Times New Roman"/>
          <w:color w:val="333333"/>
          <w:sz w:val="24"/>
          <w:szCs w:val="24"/>
          <w:lang w:eastAsia="en-US"/>
        </w:rPr>
        <w:t xml:space="preserve"> </w:t>
      </w:r>
    </w:p>
    <w:p w14:paraId="55510797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Объем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работ  члена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СРО по заключению и пролонгации  договора страхования максимально минимизирован Союзом, т.к. мы взяли на себя полностью данные функции, с учетом этого факта мы удалили из взаимоотношений между членом СРО и страховой компаний-страхового агента, который ранее получал вознаграждение от каждого заключенного договора страхования, что  не могло не влиять на цену страхового продукта.  Нами разработана и ведется единая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база  страховых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полисов и страховых случаев, каждый член заранее- до даты окончания договора страхования, оповещается нами о необходимости продления срока соответствующего договора. </w:t>
      </w:r>
    </w:p>
    <w:p w14:paraId="209D149C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Союз оказывает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консультационную  помощь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членам при урегулировании вопросов связанных со страховыми выплатами, участвуя в том числе в  переговорах со страховыми компаниями.</w:t>
      </w:r>
    </w:p>
    <w:p w14:paraId="452C559A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>В 2022 г. страховых случаев, с выплатами не зафиксировано.</w:t>
      </w:r>
    </w:p>
    <w:p w14:paraId="50DCBFDF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В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рамках  исполнения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обязанностей предусмотренных законодательством РФ о некоммерческих организаций</w:t>
      </w:r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в 2022 г.  Союзом было проведено 1 годовое общее собрание, где были, в том числе, рассмотрены вопросы </w:t>
      </w:r>
      <w:proofErr w:type="gramStart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утверждения  годовой</w:t>
      </w:r>
      <w:proofErr w:type="gramEnd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бухгалтерской отчетности, отчета директора и Совета директоров.</w:t>
      </w:r>
    </w:p>
    <w:p w14:paraId="3FB9C06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Большая работа велась СРО по взаимодействию с органами власти, Национальным Объединением Проектировщиков и Изыскателей, Ассоциацией СРО строительного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комплекса  Краснодарского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края, Союзом Строителей Кубани и другими объединениями строителей.</w:t>
      </w:r>
    </w:p>
    <w:p w14:paraId="5417FD73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Союз  в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2022 году принял участие в работе </w:t>
      </w:r>
      <w:r w:rsidRPr="009C39EB">
        <w:rPr>
          <w:rFonts w:ascii="Times New Roman" w:hAnsi="Times New Roman"/>
          <w:sz w:val="24"/>
          <w:szCs w:val="24"/>
          <w:lang w:val="en-US" w:bidi="en-US"/>
        </w:rPr>
        <w:t>X</w:t>
      </w:r>
      <w:r w:rsidRPr="009C39EB">
        <w:rPr>
          <w:rFonts w:ascii="Times New Roman" w:hAnsi="Times New Roman"/>
          <w:sz w:val="24"/>
          <w:szCs w:val="24"/>
          <w:lang w:bidi="en-US"/>
        </w:rPr>
        <w:t xml:space="preserve"> Всероссийского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, а так же,  в 3 окружных конференциях по ЮФО, и  2 заседаниях АССО КК.  </w:t>
      </w:r>
    </w:p>
    <w:p w14:paraId="3762F52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1" w:name="OLE_LINK1"/>
      <w:bookmarkStart w:id="2" w:name="OLE_LINK2"/>
      <w:r w:rsidRPr="009C39E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ходе контрольно-проверочных мероприятий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за представлением годовых отчетов за 2021 год (представляемой в 2022 г.) по форме, установленной </w:t>
      </w:r>
      <w:r w:rsidRPr="009C39EB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>Положением</w:t>
      </w:r>
      <w:r w:rsidRPr="009C39E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>об анализе деятельности членов</w:t>
      </w:r>
      <w:r w:rsidRPr="009C39E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r w:rsidRPr="009C39EB">
        <w:rPr>
          <w:rFonts w:ascii="Times New Roman" w:eastAsiaTheme="minorHAnsi" w:hAnsi="Times New Roman"/>
          <w:bCs/>
          <w:color w:val="2D2D2D"/>
          <w:sz w:val="24"/>
          <w:szCs w:val="24"/>
          <w:lang w:eastAsia="en-US"/>
        </w:rPr>
        <w:t xml:space="preserve">Союза «КОП» на основании информации, предоставляемой ими в форме отчетов» было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>установлено непредставление отчетности 6 членами (1 % членов Союза</w:t>
      </w:r>
      <w:bookmarkEnd w:id="1"/>
      <w:bookmarkEnd w:id="2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), против 17 </w:t>
      </w:r>
      <w:proofErr w:type="gramStart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>членов  (</w:t>
      </w:r>
      <w:proofErr w:type="gramEnd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3,2%) в 2021г.. </w:t>
      </w:r>
    </w:p>
    <w:p w14:paraId="6A64955D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Союзом продолжается формирование компенсационных фондов возмещения вреда и обеспечения договорных обязательств. </w:t>
      </w:r>
    </w:p>
    <w:p w14:paraId="2FC2FEB5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en-US" w:bidi="en-US"/>
        </w:rPr>
      </w:pPr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Денежные средства вышеназванных компенсационных фондов размещены на специальных счетах, открытых в АО “</w:t>
      </w:r>
      <w:proofErr w:type="spellStart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Альфа-</w:t>
      </w:r>
      <w:proofErr w:type="gramStart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банк</w:t>
      </w:r>
      <w:proofErr w:type="spellEnd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>”  в</w:t>
      </w:r>
      <w:proofErr w:type="gramEnd"/>
      <w:r w:rsidRPr="009C39EB">
        <w:rPr>
          <w:rFonts w:ascii="Times New Roman" w:eastAsia="MS Mincho" w:hAnsi="Times New Roman"/>
          <w:sz w:val="24"/>
          <w:szCs w:val="24"/>
          <w:lang w:eastAsia="en-US" w:bidi="en-US"/>
        </w:rPr>
        <w:t xml:space="preserve"> размере 58 807 773, 77 руб. на специальном счете компенсационного фонда возмещения вреда и 65 948 410, 61 руб. на специальном счете  компенсационного фонда обеспечения договорных обязательств. </w:t>
      </w:r>
    </w:p>
    <w:p w14:paraId="66B22B23" w14:textId="77777777" w:rsidR="009C39EB" w:rsidRPr="009C39EB" w:rsidRDefault="009C39EB" w:rsidP="009C39EB">
      <w:pPr>
        <w:spacing w:after="160" w:line="259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39EB">
        <w:rPr>
          <w:rFonts w:ascii="Times New Roman" w:eastAsia="MS Mincho" w:hAnsi="Times New Roman"/>
          <w:sz w:val="24"/>
          <w:szCs w:val="24"/>
          <w:lang w:eastAsia="en-US"/>
        </w:rPr>
        <w:lastRenderedPageBreak/>
        <w:t xml:space="preserve">С 31.12.2021 года Союз обязан так же учитывать в составе средств компенсационного фонда Союза, права требования к банкам, лишенным </w:t>
      </w:r>
      <w:proofErr w:type="gramStart"/>
      <w:r w:rsidRPr="009C39EB">
        <w:rPr>
          <w:rFonts w:ascii="Times New Roman" w:eastAsia="MS Mincho" w:hAnsi="Times New Roman"/>
          <w:sz w:val="24"/>
          <w:szCs w:val="24"/>
          <w:lang w:eastAsia="en-US"/>
        </w:rPr>
        <w:t xml:space="preserve">лицензии 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>до</w:t>
      </w:r>
      <w:proofErr w:type="gramEnd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 1 сентября 2017 года, в которых были </w:t>
      </w:r>
      <w:r w:rsidRPr="009C39EB">
        <w:rPr>
          <w:rFonts w:ascii="Times New Roman" w:eastAsia="MS Mincho" w:hAnsi="Times New Roman"/>
          <w:sz w:val="24"/>
          <w:szCs w:val="24"/>
          <w:lang w:eastAsia="en-US"/>
        </w:rPr>
        <w:t xml:space="preserve">размещены средства компенсационных фондов Союза в соответствии с требованиям </w:t>
      </w:r>
      <w:proofErr w:type="spellStart"/>
      <w:r w:rsidRPr="009C39EB">
        <w:rPr>
          <w:rFonts w:ascii="Times New Roman" w:eastAsia="MS Mincho" w:hAnsi="Times New Roman"/>
          <w:sz w:val="24"/>
          <w:szCs w:val="24"/>
          <w:lang w:eastAsia="en-US"/>
        </w:rPr>
        <w:t>ГрК</w:t>
      </w:r>
      <w:proofErr w:type="spellEnd"/>
      <w:r w:rsidRPr="009C39EB">
        <w:rPr>
          <w:rFonts w:ascii="Times New Roman" w:eastAsia="MS Mincho" w:hAnsi="Times New Roman"/>
          <w:sz w:val="24"/>
          <w:szCs w:val="24"/>
          <w:lang w:eastAsia="en-US"/>
        </w:rPr>
        <w:t xml:space="preserve"> РФ (в редакции до 04 июля 2016 г.). Размер данных средств на дату отчета составляет 28 608 197,73 рублей, </w:t>
      </w:r>
      <w:proofErr w:type="gramStart"/>
      <w:r w:rsidRPr="009C39EB">
        <w:rPr>
          <w:rFonts w:ascii="Times New Roman" w:eastAsia="MS Mincho" w:hAnsi="Times New Roman"/>
          <w:sz w:val="24"/>
          <w:szCs w:val="24"/>
          <w:lang w:eastAsia="en-US"/>
        </w:rPr>
        <w:t xml:space="preserve">которые 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>находятся</w:t>
      </w:r>
      <w:proofErr w:type="gramEnd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 соответственно в: </w:t>
      </w:r>
      <w:r w:rsidRPr="009C39EB">
        <w:rPr>
          <w:rFonts w:ascii="Times New Roman" w:hAnsi="Times New Roman"/>
          <w:sz w:val="24"/>
          <w:szCs w:val="24"/>
          <w:lang w:eastAsia="en-US"/>
        </w:rPr>
        <w:t xml:space="preserve">КБ «МИКО-БАНК» ООО – 22 608 197,73 руб.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(уведомление конкурсного управляющего от 11.07.2016 № 30к/52512 и </w:t>
      </w:r>
      <w:r w:rsidRPr="009C39EB">
        <w:rPr>
          <w:rFonts w:ascii="Times New Roman" w:hAnsi="Times New Roman"/>
          <w:sz w:val="24"/>
          <w:szCs w:val="24"/>
          <w:lang w:eastAsia="en-US"/>
        </w:rPr>
        <w:t>КБ «ЕВРОТРАСТ» (ЗАО) - 6 000 000 руб. (уведомление конкурсного управляющего от 04.06.2014 № 03-33 исх-52596).</w:t>
      </w:r>
    </w:p>
    <w:p w14:paraId="5C2DBF3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Союзом продолжается работа по внесению исходных данных и актуализации текущих сведений о членах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Союза  в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личном кабинете реестра членов саморегулируемой организации, реестродержателем которого является НОПРИЗ. </w:t>
      </w:r>
    </w:p>
    <w:p w14:paraId="620CC711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В отчетном году, так же,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велась  работа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по  информационному  обеспечению открытости  деятельности Союза.</w:t>
      </w:r>
    </w:p>
    <w:p w14:paraId="1F3DB237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 Во исполнение тех задач, которые мы ставили себе на прошлогоднем общем собрании нами был проведен целый ряд мероприятий. </w:t>
      </w:r>
    </w:p>
    <w:p w14:paraId="1CEAB60F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Так, естественно, нами полностью и безоговорочно соблюдались требования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законодательства  на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площадке нашего официального сайта: </w:t>
      </w:r>
      <w:hyperlink r:id="rId7" w:history="1"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www</w:t>
        </w:r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kop</w:t>
        </w:r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-</w:t>
        </w:r>
        <w:proofErr w:type="spellStart"/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sro</w:t>
        </w:r>
        <w:proofErr w:type="spellEnd"/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r w:rsidRPr="009C39EB">
          <w:rPr>
            <w:rFonts w:ascii="Times New Roman" w:hAnsi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</w:hyperlink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. </w:t>
      </w:r>
    </w:p>
    <w:p w14:paraId="73571B43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Большое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внимание  Союзом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уделялось ведению реестра СРО, неукоснительно придерживались правила о размещении сведений о членах Союза в течении 3-х рабочих дней с момента их изменения и, в те же сроки,  направляли их  в НОПРИЗ.  </w:t>
      </w:r>
    </w:p>
    <w:p w14:paraId="6FBDD3EC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Союзом продолжалось прямое взаимодействие как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с  членами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Союза, так и с третьими лицами, в части осуществления полномочий по выдаче  выписок из реестра членов саморегулируемой организации, так с 01.01.2022 г. по 01.09.2022 года было  обработано 1378 заявление на  выписки из реестра членов, в настоящее время данный сервис автоматизирован и внедрен в Единый  реестр сведений о членах СРО и их обязательствах.</w:t>
      </w:r>
    </w:p>
    <w:p w14:paraId="6077E4DE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В рамках оказания юридической и консультативной помощи членам Союза в 2022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году  было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оказано более 100  устных и более 20 письменных консультаций. </w:t>
      </w:r>
    </w:p>
    <w:p w14:paraId="7293F448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ab/>
        <w:t xml:space="preserve">Так же, юридическим отделом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была  продолжена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практика работы по анализу нововведений в законодательстве РФ, в части касающейся строительной отрасли.  При получении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соответствующей  информации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 о внесении изменений  в законодательные акты, касающиеся как строительной отрасли, так и касающиеся деятельности любого предприятия, Союзом размещается соответствующая информация на сайте, а так же в отдельных случаях делается рассылка по электронным адресам членов СРО уведомляющая о вышеназванных фактах. </w:t>
      </w:r>
    </w:p>
    <w:p w14:paraId="310F73FB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Во исполнение требований Градостроительного кодекса в Союзе постоянно проводится работа по </w:t>
      </w:r>
      <w:proofErr w:type="gramStart"/>
      <w:r w:rsidRPr="009C39EB">
        <w:rPr>
          <w:rFonts w:ascii="Times New Roman" w:hAnsi="Times New Roman"/>
          <w:sz w:val="24"/>
          <w:szCs w:val="24"/>
          <w:lang w:eastAsia="en-US" w:bidi="en-US"/>
        </w:rPr>
        <w:t>контролю  наличия</w:t>
      </w:r>
      <w:proofErr w:type="gramEnd"/>
      <w:r w:rsidRPr="009C39EB">
        <w:rPr>
          <w:rFonts w:ascii="Times New Roman" w:hAnsi="Times New Roman"/>
          <w:sz w:val="24"/>
          <w:szCs w:val="24"/>
          <w:lang w:eastAsia="en-US" w:bidi="en-US"/>
        </w:rPr>
        <w:t xml:space="preserve"> у члена Союза необходимого количества специалистов по организации строительства, внесенных в Национальный реестр специалистов. </w:t>
      </w:r>
    </w:p>
    <w:p w14:paraId="38E1278B" w14:textId="77777777" w:rsidR="009C39EB" w:rsidRPr="009C39EB" w:rsidRDefault="009C39EB" w:rsidP="009C39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соответствие с требованиями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Градостроительного  Кодекса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РФ таких специалистов должно быть не менее 2-х у каждого члена Союза. Вызывает озабоченность вопрос укомплектования членов Союза двумя специалистами, включенными в НРС. По состоянию на 31.12.2021 по данным Союза внесены в НРС 1198 (против 847 в 2021 г.) специалистов, т.е. в перерасчете на количество членов Союза укомплектованность специалистами составляет около 74 </w:t>
      </w:r>
      <w:proofErr w:type="gram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%,  с</w:t>
      </w:r>
      <w:proofErr w:type="gram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 учетом того факта, что выявлены факты «</w:t>
      </w:r>
      <w:proofErr w:type="spellStart"/>
      <w:r w:rsidRPr="009C39EB">
        <w:rPr>
          <w:rFonts w:ascii="Times New Roman" w:eastAsia="Calibri" w:hAnsi="Times New Roman"/>
          <w:sz w:val="24"/>
          <w:szCs w:val="24"/>
          <w:lang w:eastAsia="en-US"/>
        </w:rPr>
        <w:t>задвоения</w:t>
      </w:r>
      <w:proofErr w:type="spellEnd"/>
      <w:r w:rsidRPr="009C39EB">
        <w:rPr>
          <w:rFonts w:ascii="Times New Roman" w:eastAsia="Calibri" w:hAnsi="Times New Roman"/>
          <w:sz w:val="24"/>
          <w:szCs w:val="24"/>
          <w:lang w:eastAsia="en-US"/>
        </w:rPr>
        <w:t xml:space="preserve">» некоторых специалистов.  </w:t>
      </w:r>
    </w:p>
    <w:p w14:paraId="30B6E4A7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Причины отсутствия специалистов выяснялись в ходе проведения КПМ и объясняются увольнением кадров в связи со снижением объемов работ. Отсутствие специалистов носит временный характер и не является характерным для всего года. </w:t>
      </w:r>
    </w:p>
    <w:p w14:paraId="736E966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При этом, хотелось бы отметить, что с 01 сентября 2022 года Союзом повышен контроль в отношении обеспечения  членов СРО специалистами НРС, поскольку в Союз от Национального Объединения проектировщиков поступают уведомления в отношении </w:t>
      </w: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необходимости прохождения такими специалистами независимой оценки квалификации, в случае, если у таких специалистов закончился или заканчивается срок действия ранее полученного удостоверения о повышении квалификации, что в свою очередь влечет необходимость контрольных мероприятий со стороны Союза в отношении таких членов Союза.  </w:t>
      </w:r>
    </w:p>
    <w:p w14:paraId="748C24E2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39EB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 xml:space="preserve">Союзом </w:t>
      </w:r>
      <w:proofErr w:type="gramStart"/>
      <w:r w:rsidRPr="009C39EB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>ведется  разъяснительная</w:t>
      </w:r>
      <w:proofErr w:type="gramEnd"/>
      <w:r w:rsidRPr="009C39EB">
        <w:rPr>
          <w:rFonts w:ascii="Times New Roman" w:eastAsiaTheme="minorHAnsi" w:hAnsi="Times New Roman"/>
          <w:color w:val="22232F"/>
          <w:sz w:val="24"/>
          <w:szCs w:val="24"/>
          <w:lang w:eastAsia="en-US"/>
        </w:rPr>
        <w:t xml:space="preserve"> работа с членами в части порядка, возможности и необходимости  прохождения независимой оценки квалификации сотрудниками членов Союза, организована рассылка данной информации, так же  ведется  работа по организации независимой оценки квалификации на базе Союза. </w:t>
      </w:r>
    </w:p>
    <w:p w14:paraId="3F6FF8E6" w14:textId="77777777" w:rsidR="009C39EB" w:rsidRPr="009C39EB" w:rsidRDefault="009C39EB" w:rsidP="009C39E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Кроме того, Союз, продолжает и </w:t>
      </w:r>
      <w:proofErr w:type="gramStart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>продолжит  оказывать</w:t>
      </w:r>
      <w:proofErr w:type="gramEnd"/>
      <w:r w:rsidRPr="009C39EB">
        <w:rPr>
          <w:rFonts w:ascii="Times New Roman" w:eastAsiaTheme="minorHAnsi" w:hAnsi="Times New Roman"/>
          <w:sz w:val="24"/>
          <w:szCs w:val="24"/>
          <w:lang w:eastAsia="en-US"/>
        </w:rPr>
        <w:t xml:space="preserve"> методическую помощь при подготовке заявлений в НРС при обращении соискателей для включения сведений о них в НРС.</w:t>
      </w:r>
    </w:p>
    <w:p w14:paraId="43C3BA40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CCF9D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9ACAE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D681462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E2BA1B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0A9B17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EEC8FCF" w14:textId="77777777" w:rsidR="00817EEE" w:rsidRPr="00327F68" w:rsidRDefault="00817EEE" w:rsidP="00327F68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455B27E" w14:textId="77777777" w:rsidR="00221D4E" w:rsidRPr="00327F68" w:rsidRDefault="00221D4E" w:rsidP="00327F6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21D4E" w:rsidRPr="00327F68" w:rsidSect="00327F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8FDE" w14:textId="77777777" w:rsidR="00A75B03" w:rsidRDefault="00A75B03" w:rsidP="00327F68">
      <w:pPr>
        <w:spacing w:after="0" w:line="240" w:lineRule="auto"/>
      </w:pPr>
      <w:r>
        <w:separator/>
      </w:r>
    </w:p>
  </w:endnote>
  <w:endnote w:type="continuationSeparator" w:id="0">
    <w:p w14:paraId="47A28A60" w14:textId="77777777" w:rsidR="00A75B03" w:rsidRDefault="00A75B03" w:rsidP="003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3C56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117527" w14:textId="77777777" w:rsidR="00327F68" w:rsidRDefault="00327F68" w:rsidP="00327F6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A871" w14:textId="77777777" w:rsidR="00327F68" w:rsidRDefault="00327F68" w:rsidP="000834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D69">
      <w:rPr>
        <w:rStyle w:val="a7"/>
        <w:noProof/>
      </w:rPr>
      <w:t>6</w:t>
    </w:r>
    <w:r>
      <w:rPr>
        <w:rStyle w:val="a7"/>
      </w:rPr>
      <w:fldChar w:fldCharType="end"/>
    </w:r>
  </w:p>
  <w:p w14:paraId="37A0FB13" w14:textId="77777777" w:rsidR="00327F68" w:rsidRDefault="00327F68" w:rsidP="00327F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2F616" w14:textId="77777777" w:rsidR="00A75B03" w:rsidRDefault="00A75B03" w:rsidP="00327F68">
      <w:pPr>
        <w:spacing w:after="0" w:line="240" w:lineRule="auto"/>
      </w:pPr>
      <w:r>
        <w:separator/>
      </w:r>
    </w:p>
  </w:footnote>
  <w:footnote w:type="continuationSeparator" w:id="0">
    <w:p w14:paraId="26479873" w14:textId="77777777" w:rsidR="00A75B03" w:rsidRDefault="00A75B03" w:rsidP="003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F"/>
    <w:rsid w:val="00015D60"/>
    <w:rsid w:val="00067539"/>
    <w:rsid w:val="00082B3D"/>
    <w:rsid w:val="0012609A"/>
    <w:rsid w:val="001324AC"/>
    <w:rsid w:val="00135200"/>
    <w:rsid w:val="002060D0"/>
    <w:rsid w:val="00220FE0"/>
    <w:rsid w:val="00221D4E"/>
    <w:rsid w:val="002534B0"/>
    <w:rsid w:val="00255239"/>
    <w:rsid w:val="00282828"/>
    <w:rsid w:val="002C5D69"/>
    <w:rsid w:val="00312EEA"/>
    <w:rsid w:val="00327F68"/>
    <w:rsid w:val="003404D5"/>
    <w:rsid w:val="00341ABD"/>
    <w:rsid w:val="0038035D"/>
    <w:rsid w:val="003943CB"/>
    <w:rsid w:val="003C77D8"/>
    <w:rsid w:val="003E4E4D"/>
    <w:rsid w:val="004226DC"/>
    <w:rsid w:val="00494918"/>
    <w:rsid w:val="005609FA"/>
    <w:rsid w:val="005629CC"/>
    <w:rsid w:val="00595278"/>
    <w:rsid w:val="005D0AD4"/>
    <w:rsid w:val="005D71EE"/>
    <w:rsid w:val="005E21BD"/>
    <w:rsid w:val="0063044B"/>
    <w:rsid w:val="00661C9C"/>
    <w:rsid w:val="006721A1"/>
    <w:rsid w:val="00690B05"/>
    <w:rsid w:val="006B7EFC"/>
    <w:rsid w:val="006E28BF"/>
    <w:rsid w:val="0072596C"/>
    <w:rsid w:val="007340C1"/>
    <w:rsid w:val="00774618"/>
    <w:rsid w:val="00775394"/>
    <w:rsid w:val="007772FB"/>
    <w:rsid w:val="007C6A46"/>
    <w:rsid w:val="007D7D5C"/>
    <w:rsid w:val="00817EEE"/>
    <w:rsid w:val="00871E97"/>
    <w:rsid w:val="008B68A3"/>
    <w:rsid w:val="00941B95"/>
    <w:rsid w:val="009A6B5B"/>
    <w:rsid w:val="009B243B"/>
    <w:rsid w:val="009C39EB"/>
    <w:rsid w:val="00A15882"/>
    <w:rsid w:val="00A2284E"/>
    <w:rsid w:val="00A75B03"/>
    <w:rsid w:val="00B22E4D"/>
    <w:rsid w:val="00B5625C"/>
    <w:rsid w:val="00B71750"/>
    <w:rsid w:val="00BD0347"/>
    <w:rsid w:val="00BF1C0F"/>
    <w:rsid w:val="00C824E9"/>
    <w:rsid w:val="00C841EB"/>
    <w:rsid w:val="00C951AF"/>
    <w:rsid w:val="00CA7034"/>
    <w:rsid w:val="00CD32C9"/>
    <w:rsid w:val="00D75732"/>
    <w:rsid w:val="00DE6E6C"/>
    <w:rsid w:val="00E151E2"/>
    <w:rsid w:val="00E65305"/>
    <w:rsid w:val="00E73974"/>
    <w:rsid w:val="00E82B87"/>
    <w:rsid w:val="00E90CE1"/>
    <w:rsid w:val="00F20A7E"/>
    <w:rsid w:val="00F46279"/>
    <w:rsid w:val="00F7497A"/>
    <w:rsid w:val="00F93C02"/>
    <w:rsid w:val="00FA773C"/>
    <w:rsid w:val="00FE5F7A"/>
    <w:rsid w:val="00FE78A0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CD9FD"/>
  <w15:docId w15:val="{D42B690A-B162-4FE2-A378-D637F93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625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562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562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B5625C"/>
  </w:style>
  <w:style w:type="paragraph" w:styleId="a5">
    <w:name w:val="footer"/>
    <w:basedOn w:val="a"/>
    <w:link w:val="a6"/>
    <w:uiPriority w:val="99"/>
    <w:unhideWhenUsed/>
    <w:rsid w:val="00327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F68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327F68"/>
  </w:style>
  <w:style w:type="paragraph" w:customStyle="1" w:styleId="21">
    <w:name w:val="Средняя сетка 21"/>
    <w:basedOn w:val="a"/>
    <w:uiPriority w:val="1"/>
    <w:qFormat/>
    <w:rsid w:val="00015D60"/>
    <w:pPr>
      <w:spacing w:after="0" w:line="240" w:lineRule="auto"/>
    </w:pPr>
    <w:rPr>
      <w:sz w:val="24"/>
      <w:szCs w:val="32"/>
      <w:lang w:val="en-US" w:eastAsia="en-US" w:bidi="en-US"/>
    </w:rPr>
  </w:style>
  <w:style w:type="character" w:styleId="a8">
    <w:name w:val="Hyperlink"/>
    <w:uiPriority w:val="99"/>
    <w:unhideWhenUsed/>
    <w:rsid w:val="00206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p-sr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0AF9-403B-4362-9E03-733F2E06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СРО Швыдченко Ю.О.</cp:lastModifiedBy>
  <cp:revision>2</cp:revision>
  <cp:lastPrinted>2024-07-16T08:56:00Z</cp:lastPrinted>
  <dcterms:created xsi:type="dcterms:W3CDTF">2024-07-16T08:58:00Z</dcterms:created>
  <dcterms:modified xsi:type="dcterms:W3CDTF">2024-07-16T08:58:00Z</dcterms:modified>
</cp:coreProperties>
</file>